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76" w:lineRule="auto"/>
        <w:contextualSpacing w:val="0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Crime and Punishment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Study Guide for Socratic Seminar on 11/7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Part I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As you’re reading, keep notes (with page numbers and quotes for quick reference) on the following: 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Part I you will find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many examples of crime and attempted crime. (original Russian word - "prestuplenie" means "stepping across [some barrier]" or "transgression").   Discuss the people who are committing some sort of crime. 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iscuss the characters who sacrifice for some greater good.  (Note that they are always ineffectual.)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does Raskolnikov justify murder?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Discuss Raskolnikov as compassionate and as a brute,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5.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does Raskolnikov's childhood dream mirror other events in the story?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A.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Does ownership justify such sacrifice?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B.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lead Raskolnikov to dream that dream?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C.</w:t>
        <w:tab/>
        <w:t xml:space="preserve">Consider also the pages that follow it (53).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6.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Discuss the convo between the student and the officer in the tavern.  Why is this conversation important?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7.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Discuss Raskolnikov’s inward struggle, beginning on p. 62, about the crime he is about to commit.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</w:t>
        <w:tab/>
        <w:t xml:space="preserve">Pay attention to pages 63 &amp; 64.  Do you think these ideas hold true for Raskolnikov?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9.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Discuss the role of poverty in the novel so far.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10.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Discuss the role of women in the novel so far.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