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Frankenstein </w:t>
      </w:r>
      <w:r w:rsidDel="00000000" w:rsidR="00000000" w:rsidRPr="00000000">
        <w:rPr>
          <w:rtl w:val="0"/>
        </w:rPr>
        <w:t xml:space="preserve">Volume I comparison to the Mariner and Walton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the following chart, you may find it helpful to look at pages 46-58 of the novel as Frankenstein relays to Walton his motivations and reflections on his creation of the monster.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Frankenstein Moments/Cite with Explanation of importance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Mariner Moments/Cite with Explanation of importance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Walton Moments/Cite with Explanation of importance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